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u w:val="single"/>
            <w:rtl w:val="0"/>
          </w:rPr>
          <w:t xml:space="preserve">Bài tập Classification &amp; Matching Information IELTS 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Ambergris – what is it and where does it come from?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2: The Analysis of Fear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BÀI TẬP 3</w:t>
      </w:r>
    </w:p>
    <w:p w:rsidR="00000000" w:rsidDel="00000000" w:rsidP="00000000" w:rsidRDefault="00000000" w:rsidRPr="00000000" w14:paraId="000000CC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bookmarkStart w:colFirst="0" w:colLast="0" w:name="_heading=h.5ageut6xswc5" w:id="1"/>
      <w:bookmarkEnd w:id="1"/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0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https://www.ieltstutor.me/blog/bai-tap-dang-classification-matching-information-ielts-reading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138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https://www.ieltstutor.me/blog/bai-tap-dang-classification-matching-information-ielts-reading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0F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11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classification-matching-information-ielts-reading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classification-matching-information-ielts-readin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classification-matching-information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8tWM1LxOVi67OP/NaSbkuH+V+A==">CgMxLjAyCGguZ2pkZ3hzMg5oLjVhZ2V1dDZ4c3djNTgAciExRkg3dTRxdWFjeW13dGVnR1FTdUdzSVNocmtDclRBdjI=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